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>Informacja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sz w:val="24"/>
          <w:szCs w:val="24"/>
        </w:rPr>
        <w:t>z realizacji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pilotażowego</w:t>
      </w:r>
      <w:r>
        <w:rPr>
          <w:b/>
          <w:sz w:val="24"/>
          <w:szCs w:val="24"/>
        </w:rPr>
        <w:t xml:space="preserve"> „Programu badań przesiewowych w kierunku wczesanego wykrycia wad wzroku wśród uczniów klas pierwszych i piątych szkół podstawowych z terenu powiatu bielskiego”. Okres realizacji Programu: 2025-2026.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Bielsko - Biała, 14 września 2026 r.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/>
        <w:drawing>
          <wp:inline distT="0" distB="0" distL="0" distR="0">
            <wp:extent cx="1097280" cy="94488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/>
        <w:jc w:val="both"/>
        <w:rPr>
          <w:sz w:val="24"/>
          <w:szCs w:val="24"/>
        </w:rPr>
      </w:pPr>
      <w:r>
        <w:rPr>
          <w:b/>
          <w:sz w:val="24"/>
          <w:szCs w:val="24"/>
        </w:rPr>
        <w:t>Celem głównym Programu</w:t>
      </w:r>
      <w:r>
        <w:rPr>
          <w:sz w:val="24"/>
          <w:szCs w:val="24"/>
        </w:rPr>
        <w:t xml:space="preserve"> była poprawa stanu zdrowia uczniów klas pierwszych i piątych rozpoczynających edukację w roku szkolnym 2025/2026 w szkołach podstawowych na terenie powiatu belskiego, poprzez zwiększenie o minimum 5% wczesnego wykrywania wad wzroku oraz wskazanie dalszego postępowania leczniczego zapobiegającego powstawaniu i utrwalaniu się wad wzroku w latach 2025-2026.</w:t>
      </w:r>
    </w:p>
    <w:p>
      <w:pPr>
        <w:pStyle w:val="Normal"/>
        <w:spacing w:lineRule="auto" w:line="2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Rok 2025</w:t>
      </w:r>
    </w:p>
    <w:p>
      <w:pPr>
        <w:pStyle w:val="Normal"/>
        <w:spacing w:lineRule="auto" w:lin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</w:t>
      </w:r>
      <w:r>
        <w:rPr>
          <w:b/>
          <w:sz w:val="24"/>
          <w:szCs w:val="24"/>
        </w:rPr>
        <w:t xml:space="preserve">267 </w:t>
      </w:r>
      <w:r>
        <w:rPr>
          <w:sz w:val="24"/>
          <w:szCs w:val="24"/>
        </w:rPr>
        <w:t>uczniów klas I wykryto nieprawidłowości w funkcjonowaniu narządu wzroku. Odnosząc tą liczbę do ilości dzieci przebadanych w Programie (</w:t>
      </w:r>
      <w:r>
        <w:rPr>
          <w:b/>
          <w:sz w:val="24"/>
          <w:szCs w:val="24"/>
        </w:rPr>
        <w:t>1417</w:t>
      </w:r>
      <w:r>
        <w:rPr>
          <w:sz w:val="24"/>
          <w:szCs w:val="24"/>
        </w:rPr>
        <w:t>) to nieprawidłowości wykryto u </w:t>
      </w:r>
      <w:r>
        <w:rPr>
          <w:b/>
          <w:sz w:val="24"/>
          <w:szCs w:val="24"/>
        </w:rPr>
        <w:t>18,84 %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uczniów klas I.</w:t>
      </w:r>
    </w:p>
    <w:p>
      <w:pPr>
        <w:pStyle w:val="Normal"/>
        <w:spacing w:lineRule="auto" w:line="2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Rok 2026</w:t>
      </w:r>
    </w:p>
    <w:p>
      <w:pPr>
        <w:pStyle w:val="Normal"/>
        <w:spacing w:lineRule="auto" w:line="24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U </w:t>
      </w:r>
      <w:r>
        <w:rPr>
          <w:b/>
          <w:sz w:val="24"/>
          <w:szCs w:val="24"/>
        </w:rPr>
        <w:t xml:space="preserve">190 </w:t>
      </w:r>
      <w:r>
        <w:rPr>
          <w:sz w:val="24"/>
          <w:szCs w:val="24"/>
        </w:rPr>
        <w:t xml:space="preserve">uczniów klas V wykryto nieprawidłowości w funkcjonowaniu narządu wzroku. Odnosząc tą liczbę do ilości dzieci przebadanych w Programie </w:t>
      </w:r>
      <w:r>
        <w:rPr>
          <w:b/>
          <w:sz w:val="24"/>
          <w:szCs w:val="24"/>
        </w:rPr>
        <w:t>(899)</w:t>
      </w:r>
      <w:r>
        <w:rPr>
          <w:sz w:val="24"/>
          <w:szCs w:val="24"/>
        </w:rPr>
        <w:t xml:space="preserve">  to nieprawidłowości </w:t>
      </w:r>
      <w:r>
        <w:rPr>
          <w:b/>
          <w:sz w:val="24"/>
          <w:szCs w:val="24"/>
        </w:rPr>
        <w:t>wykryto u 21,13 % uczniów klas V.</w:t>
      </w:r>
    </w:p>
    <w:p>
      <w:pPr>
        <w:pStyle w:val="Normal"/>
        <w:spacing w:lineRule="auto" w:line="2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Razem w latach 2025-2026</w:t>
      </w:r>
    </w:p>
    <w:p>
      <w:pPr>
        <w:pStyle w:val="Normal"/>
        <w:spacing w:lineRule="auto" w:lin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sumie u </w:t>
      </w:r>
      <w:r>
        <w:rPr>
          <w:b/>
          <w:sz w:val="24"/>
          <w:szCs w:val="24"/>
        </w:rPr>
        <w:t>457</w:t>
      </w:r>
      <w:r>
        <w:rPr>
          <w:sz w:val="24"/>
          <w:szCs w:val="24"/>
        </w:rPr>
        <w:t xml:space="preserve"> uczniów klas I i V wykryto nieprawidłowości w funkcjonowaniu narządu wzroku. Odnosząc tą liczbę do ilości dzieci przebadanych w Programie (</w:t>
      </w:r>
      <w:r>
        <w:rPr>
          <w:b/>
          <w:sz w:val="24"/>
          <w:szCs w:val="24"/>
        </w:rPr>
        <w:t>2316</w:t>
      </w:r>
      <w:r>
        <w:rPr>
          <w:sz w:val="24"/>
          <w:szCs w:val="24"/>
        </w:rPr>
        <w:t xml:space="preserve">) to nieprawidłowości wykryto u </w:t>
      </w:r>
      <w:r>
        <w:rPr>
          <w:b/>
          <w:sz w:val="24"/>
          <w:szCs w:val="24"/>
        </w:rPr>
        <w:t>19,73%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uczniów klas I i V.</w:t>
      </w:r>
    </w:p>
    <w:p>
      <w:pPr>
        <w:pStyle w:val="Normal"/>
        <w:spacing w:lineRule="auto" w:line="2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Liczba i rodzaj wykrytych wad: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360" w:start="426" w:end="28"/>
        <w:jc w:val="both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b/>
          <w:sz w:val="24"/>
          <w:szCs w:val="24"/>
        </w:rPr>
        <w:t>rok 2025</w:t>
      </w:r>
      <w:r>
        <w:rPr>
          <w:rFonts w:eastAsia="Times New Roman" w:cs="Calibri"/>
          <w:sz w:val="24"/>
          <w:szCs w:val="24"/>
        </w:rPr>
        <w:t xml:space="preserve"> - klasa I – </w:t>
      </w:r>
      <w:r>
        <w:rPr>
          <w:rFonts w:eastAsia="Times New Roman" w:cs="Calibri"/>
          <w:b/>
          <w:sz w:val="24"/>
          <w:szCs w:val="24"/>
        </w:rPr>
        <w:t>267 dzieci</w:t>
      </w:r>
      <w:r>
        <w:rPr>
          <w:rFonts w:eastAsia="Times New Roman" w:cs="Calibri"/>
          <w:sz w:val="24"/>
          <w:szCs w:val="24"/>
        </w:rPr>
        <w:t xml:space="preserve"> (różnowzroczność - 49, astygmatyzm – 89, krótkowzroczność – 42, nadwzroczność – 80, choroba zezowa – 7), 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360" w:start="426" w:end="28"/>
        <w:jc w:val="both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b/>
          <w:sz w:val="24"/>
          <w:szCs w:val="24"/>
        </w:rPr>
        <w:t>rok 2026</w:t>
      </w:r>
      <w:r>
        <w:rPr>
          <w:rFonts w:eastAsia="Times New Roman" w:cs="Calibri"/>
          <w:sz w:val="24"/>
          <w:szCs w:val="24"/>
        </w:rPr>
        <w:t xml:space="preserve"> - klasa V – </w:t>
      </w:r>
      <w:r>
        <w:rPr>
          <w:rFonts w:eastAsia="Times New Roman" w:cs="Calibri"/>
          <w:b/>
          <w:sz w:val="24"/>
          <w:szCs w:val="24"/>
        </w:rPr>
        <w:t>190 dzieci</w:t>
      </w:r>
      <w:r>
        <w:rPr>
          <w:rFonts w:eastAsia="Times New Roman" w:cs="Calibri"/>
          <w:sz w:val="24"/>
          <w:szCs w:val="24"/>
        </w:rPr>
        <w:t xml:space="preserve"> (róznowzroczność – 31, astygmatyzm – 91, krótkowzroczność – 46, nadwzroczność – 7, choroba zezowa -  11, niewspółosiowość – 4), 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360" w:start="426" w:end="28"/>
        <w:jc w:val="both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b/>
          <w:sz w:val="24"/>
          <w:szCs w:val="24"/>
        </w:rPr>
        <w:t>razem w latach 2025-2026</w:t>
      </w:r>
      <w:r>
        <w:rPr>
          <w:rFonts w:eastAsia="Times New Roman" w:cs="Calibri"/>
          <w:sz w:val="24"/>
          <w:szCs w:val="24"/>
        </w:rPr>
        <w:t xml:space="preserve"> -  klasa I i V – </w:t>
      </w:r>
      <w:r>
        <w:rPr>
          <w:rFonts w:eastAsia="Times New Roman" w:cs="Calibri"/>
          <w:b/>
          <w:sz w:val="24"/>
          <w:szCs w:val="24"/>
        </w:rPr>
        <w:t>457 dzieci</w:t>
      </w:r>
      <w:r>
        <w:rPr>
          <w:rFonts w:eastAsia="Times New Roman" w:cs="Calibri"/>
          <w:sz w:val="24"/>
          <w:szCs w:val="24"/>
        </w:rPr>
        <w:t xml:space="preserve"> (róznowzroczność – 80, astygmatyzm – 180, krótkowzroczność – 88, nadwzroczność –87, choroba zezowa -  18, niewspółosiowość – 4).</w:t>
      </w:r>
    </w:p>
    <w:p>
      <w:pPr>
        <w:pStyle w:val="Normal"/>
        <w:spacing w:lineRule="auto" w:line="240" w:before="0" w:after="0"/>
        <w:ind w:start="426" w:end="28"/>
        <w:jc w:val="both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</w:r>
    </w:p>
    <w:p>
      <w:pPr>
        <w:pStyle w:val="Normal"/>
        <w:spacing w:lineRule="auto" w:line="2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Cele szczegółowe Programu:</w:t>
      </w:r>
    </w:p>
    <w:p>
      <w:pPr>
        <w:pStyle w:val="Normal"/>
        <w:spacing w:lineRule="auto" w:line="2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 Podniesienie poziomu wiedzy na temat kształtowania prawidłowych nawyków związanych ze zdrowiem oczu oraz podniesienie umiejętności dostrzegania sygnałów, które świadczą o problemach ze wzrokiem o minimum 25% u rodziców / opiekunów prawnych uczniów uczestniczących w Programie poprzez działania edukacyjne oraz zweryfikowanie nabytej wiedzy przez przeprowadzenie pre – i post - testów (zostanie opracowany przez Realizatora / Realizatorów Programu).</w:t>
      </w:r>
    </w:p>
    <w:p>
      <w:pPr>
        <w:pStyle w:val="Normal"/>
        <w:spacing w:lineRule="auto" w:line="2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Rok 2025</w:t>
      </w:r>
    </w:p>
    <w:p>
      <w:pPr>
        <w:pStyle w:val="Normal"/>
        <w:spacing w:lineRule="auto" w:line="24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Poziom wiedzy w zakresie czynników ryzyka uszkodzenia słuchu oraz metod zapobiegania uszkodzeniom słuchu wzrósł u rodziców/opiekunów prawnych uczniów klas I o </w:t>
      </w:r>
      <w:r>
        <w:rPr>
          <w:b/>
          <w:sz w:val="24"/>
          <w:szCs w:val="24"/>
        </w:rPr>
        <w:t>36,00%.</w:t>
      </w:r>
    </w:p>
    <w:p>
      <w:pPr>
        <w:pStyle w:val="Normal"/>
        <w:spacing w:lineRule="auto" w:line="2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Rok 2026</w:t>
      </w:r>
    </w:p>
    <w:p>
      <w:pPr>
        <w:pStyle w:val="Normal"/>
        <w:spacing w:lineRule="auto" w:line="24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Poziom wiedzy w zakresie czynników ryzyka uszkodzenia słuchu oraz metod zapobiegania uszkodzeniom słuchu wzrósł u rodziców/opiekunów prawnych uczniów klas V o </w:t>
      </w:r>
      <w:r>
        <w:rPr>
          <w:b/>
          <w:sz w:val="24"/>
          <w:szCs w:val="24"/>
        </w:rPr>
        <w:t>38,20%.</w:t>
      </w:r>
    </w:p>
    <w:p>
      <w:pPr>
        <w:pStyle w:val="Normal"/>
        <w:spacing w:lineRule="auto" w:line="2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Razem w latach 2025-2026</w:t>
      </w:r>
    </w:p>
    <w:p>
      <w:pPr>
        <w:pStyle w:val="Normal"/>
        <w:spacing w:lineRule="auto" w:lin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Poziom wiedzy w zakresie czynników ryzyka uszkodzenia słuchu oraz metod zapobiegania uszkodzeniom słuchu wzrósł u rodziców/opiekunów prawnych uczniów klas I i V o </w:t>
      </w:r>
      <w:r>
        <w:rPr>
          <w:b/>
          <w:sz w:val="24"/>
          <w:szCs w:val="24"/>
        </w:rPr>
        <w:t>36,92%.</w:t>
      </w:r>
    </w:p>
    <w:p>
      <w:pPr>
        <w:pStyle w:val="Normal"/>
        <w:spacing w:lineRule="auto" w:line="2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 Podniesienie poziomu wiedzy na temat kształtowania prawidłowych nawyków związanych ze zdrowiem oczu oraz podniesienie umiejętności dostrzegania sygnałów, które świadczą o problemach ze wzrokiem o minimum 25% u wychowawców klas pierwszych i piątych szkół podstawowych zlokalizowanych na terenie powiatu bielskiego poprzez działania edukacyjne oraz zweryfikowanie nabytej wiedzy przez przeprowadzenie pre – i post - testów (zostanie opracowany przez Realizatora/ Realizatorów Programu).</w:t>
      </w:r>
    </w:p>
    <w:p>
      <w:pPr>
        <w:pStyle w:val="Normal"/>
        <w:spacing w:lineRule="auto" w:line="2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Rok 2025</w:t>
      </w:r>
    </w:p>
    <w:p>
      <w:pPr>
        <w:pStyle w:val="Normal"/>
        <w:spacing w:lineRule="auto" w:lin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Poziom wiedzy w zakresie czynników ryzyka uszkodzenia słuchu oraz metod zapobiegania uszkodzeniom słuchu wzrósł u wychowawców klas I o </w:t>
      </w:r>
      <w:r>
        <w:rPr>
          <w:b/>
          <w:sz w:val="24"/>
          <w:szCs w:val="24"/>
        </w:rPr>
        <w:t>31,55%.</w:t>
      </w:r>
    </w:p>
    <w:p>
      <w:pPr>
        <w:pStyle w:val="Normal"/>
        <w:spacing w:lineRule="auto" w:line="2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Rok 2026</w:t>
      </w:r>
    </w:p>
    <w:p>
      <w:pPr>
        <w:pStyle w:val="Normal"/>
        <w:spacing w:lineRule="auto" w:lin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Poziom wiedzy w zakresie czynników ryzyka uszkodzenia słuchu oraz metod zapobiegania uszkodzeniom słuchu wzrósł u przez wychowawców klas V o </w:t>
      </w:r>
      <w:r>
        <w:rPr>
          <w:b/>
          <w:sz w:val="24"/>
          <w:szCs w:val="24"/>
        </w:rPr>
        <w:t>55,76%.</w:t>
      </w:r>
    </w:p>
    <w:p>
      <w:pPr>
        <w:pStyle w:val="Normal"/>
        <w:spacing w:lineRule="auto" w:line="2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Razem w latach 2025-2026</w:t>
      </w:r>
    </w:p>
    <w:p>
      <w:pPr>
        <w:pStyle w:val="Normal"/>
        <w:spacing w:lineRule="auto" w:lin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Poziom wiedzy w zakresie czynników ryzyka uszkodzenia słuchu oraz metod zapobiegania uszkodzeniom słuchu wzrósł u przez wychowawców klas I i V o </w:t>
      </w:r>
      <w:r>
        <w:rPr>
          <w:b/>
          <w:sz w:val="24"/>
          <w:szCs w:val="24"/>
        </w:rPr>
        <w:t>41,19%.</w:t>
      </w:r>
    </w:p>
    <w:p>
      <w:pPr>
        <w:pStyle w:val="Normal"/>
        <w:spacing w:lineRule="auto" w:line="2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 Podniesienie poziomu wiedzy na temat kształtowania prawidłowych nawyków związanych ze zdrowiem oczu oraz podniesienie umiejętności dostrzegania sygnałów, które świadczą o problemach ze wzrokiem o minimum 25% u uczniów klas piątych uczestniczących w Programie poprzez działania edukacyjne oraz zweryfikowanie nabytej wiedzy przez przeprowadzenie pre – i post - testów (zostanie opracowany przez Realizatora/ Realizatorów Programu).</w:t>
      </w:r>
    </w:p>
    <w:p>
      <w:pPr>
        <w:pStyle w:val="Normal"/>
        <w:spacing w:lineRule="auto" w:line="2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Rok 2026</w:t>
      </w:r>
    </w:p>
    <w:p>
      <w:pPr>
        <w:pStyle w:val="Normal"/>
        <w:spacing w:lineRule="auto" w:line="24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Poziom wiedzy w zakresie czynników ryzyka uszkodzenia słuchu oraz metod zapobiegania uszkodzeniom słuchu wzrósł u uczniów klas V o </w:t>
      </w:r>
      <w:r>
        <w:rPr>
          <w:b/>
          <w:sz w:val="24"/>
          <w:szCs w:val="24"/>
        </w:rPr>
        <w:t>39,69 %.</w:t>
      </w:r>
    </w:p>
    <w:p>
      <w:pPr>
        <w:pStyle w:val="Normal"/>
        <w:spacing w:lineRule="auto" w:line="2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 Pozyskanie wiedzy epidemiologicznej dotyczącej występowania wad wzroku u uczniów klas pierwszych i piątych szkół podstawowych funkcjonujących na terenie powiatu poprzez przebadanie co najmniej 60 % populacji uczniów klas pierwszych i piątych uczących się w szkołach podstawowych na terenie powiatu bielskiego.</w:t>
      </w:r>
    </w:p>
    <w:p>
      <w:pPr>
        <w:pStyle w:val="Normal"/>
        <w:spacing w:lineRule="auto" w:line="2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Rok 2025</w:t>
      </w:r>
    </w:p>
    <w:p>
      <w:pPr>
        <w:pStyle w:val="Normal"/>
        <w:spacing w:lineRule="auto" w:lin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Przebadano </w:t>
      </w:r>
      <w:r>
        <w:rPr>
          <w:b/>
          <w:sz w:val="24"/>
          <w:szCs w:val="24"/>
        </w:rPr>
        <w:t>1417</w:t>
      </w:r>
      <w:r>
        <w:rPr>
          <w:sz w:val="24"/>
          <w:szCs w:val="24"/>
        </w:rPr>
        <w:t xml:space="preserve"> uczniów klas I. Odnosząc tą liczbę do wielkości populacji (</w:t>
      </w:r>
      <w:r>
        <w:rPr>
          <w:b/>
          <w:sz w:val="24"/>
          <w:szCs w:val="24"/>
        </w:rPr>
        <w:t>1968</w:t>
      </w:r>
      <w:r>
        <w:rPr>
          <w:sz w:val="24"/>
          <w:szCs w:val="24"/>
        </w:rPr>
        <w:t xml:space="preserve">) uczniów klas I uczących się w szkołach podstawowych na terenie powiatu bielskiego, co stanowi </w:t>
      </w:r>
      <w:r>
        <w:rPr>
          <w:b/>
          <w:sz w:val="24"/>
          <w:szCs w:val="24"/>
        </w:rPr>
        <w:t>72,00 %</w:t>
      </w:r>
      <w:r>
        <w:rPr>
          <w:sz w:val="24"/>
          <w:szCs w:val="24"/>
        </w:rPr>
        <w:t xml:space="preserve"> populacji. </w:t>
      </w:r>
    </w:p>
    <w:p>
      <w:pPr>
        <w:pStyle w:val="Normal"/>
        <w:spacing w:lineRule="auto" w:line="2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Rok 2026</w:t>
      </w:r>
    </w:p>
    <w:p>
      <w:pPr>
        <w:pStyle w:val="Normal"/>
        <w:spacing w:lineRule="auto" w:line="240" w:before="160"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Przebadano </w:t>
      </w:r>
      <w:r>
        <w:rPr>
          <w:b/>
          <w:sz w:val="24"/>
          <w:szCs w:val="24"/>
        </w:rPr>
        <w:t xml:space="preserve">899 </w:t>
      </w:r>
      <w:r>
        <w:rPr>
          <w:sz w:val="24"/>
          <w:szCs w:val="24"/>
        </w:rPr>
        <w:t>uczniów klas V. Odnosząc tą liczbę do wielkości populacji (</w:t>
      </w:r>
      <w:r>
        <w:rPr>
          <w:b/>
          <w:sz w:val="24"/>
          <w:szCs w:val="24"/>
        </w:rPr>
        <w:t>1905</w:t>
      </w:r>
      <w:r>
        <w:rPr>
          <w:sz w:val="24"/>
          <w:szCs w:val="24"/>
        </w:rPr>
        <w:t xml:space="preserve">) uczniów klas V uczących się w szkołach podstawowych na terenie powiatu bielskiego, co stanowi </w:t>
      </w:r>
      <w:r>
        <w:rPr>
          <w:b/>
          <w:sz w:val="24"/>
          <w:szCs w:val="24"/>
        </w:rPr>
        <w:t>47,19 %</w:t>
      </w:r>
      <w:r>
        <w:rPr>
          <w:sz w:val="24"/>
          <w:szCs w:val="24"/>
        </w:rPr>
        <w:t xml:space="preserve"> populacji.</w:t>
        <w:br/>
      </w:r>
      <w:r>
        <w:rPr>
          <w:b/>
          <w:sz w:val="24"/>
          <w:szCs w:val="24"/>
        </w:rPr>
        <w:t>Razem w latach 2025-2026</w:t>
      </w:r>
    </w:p>
    <w:p>
      <w:pPr>
        <w:pStyle w:val="Normal"/>
        <w:spacing w:lineRule="auto" w:lin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sumie przebadano </w:t>
      </w:r>
      <w:r>
        <w:rPr>
          <w:b/>
          <w:sz w:val="24"/>
          <w:szCs w:val="24"/>
        </w:rPr>
        <w:t>2316</w:t>
      </w:r>
      <w:r>
        <w:rPr>
          <w:sz w:val="24"/>
          <w:szCs w:val="24"/>
        </w:rPr>
        <w:t xml:space="preserve"> uczniów klas I i V. Odnosząc tą liczbę do wielkości populacji (</w:t>
      </w:r>
      <w:r>
        <w:rPr>
          <w:b/>
          <w:sz w:val="24"/>
          <w:szCs w:val="24"/>
        </w:rPr>
        <w:t>3873</w:t>
      </w:r>
      <w:r>
        <w:rPr>
          <w:sz w:val="24"/>
          <w:szCs w:val="24"/>
        </w:rPr>
        <w:t xml:space="preserve">) uczniów klas I i V uczących się w szkołach podstawowych na terenie powiatu bielskiego, przebadano </w:t>
      </w:r>
      <w:r>
        <w:rPr>
          <w:b/>
          <w:sz w:val="24"/>
          <w:szCs w:val="24"/>
        </w:rPr>
        <w:t>59,80 %</w:t>
      </w:r>
      <w:r>
        <w:rPr>
          <w:sz w:val="24"/>
          <w:szCs w:val="24"/>
        </w:rPr>
        <w:t xml:space="preserve"> populacji. Natomiast odnosząc liczbę osób przebadanych w programie do liczby osób zakwalifikowanych do udziału w programie (</w:t>
      </w:r>
      <w:r>
        <w:rPr>
          <w:b/>
          <w:sz w:val="24"/>
          <w:szCs w:val="24"/>
        </w:rPr>
        <w:t>2812</w:t>
      </w:r>
      <w:r>
        <w:rPr>
          <w:sz w:val="24"/>
          <w:szCs w:val="24"/>
        </w:rPr>
        <w:t xml:space="preserve">) to przebadano </w:t>
      </w:r>
      <w:r>
        <w:rPr>
          <w:b/>
          <w:sz w:val="24"/>
          <w:szCs w:val="24"/>
        </w:rPr>
        <w:t>82,36%</w:t>
      </w:r>
      <w:r>
        <w:rPr>
          <w:sz w:val="24"/>
          <w:szCs w:val="24"/>
        </w:rPr>
        <w:t xml:space="preserve"> populacji. </w:t>
      </w:r>
    </w:p>
    <w:p>
      <w:pPr>
        <w:pStyle w:val="Normal"/>
        <w:spacing w:lineRule="auto" w:line="2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Dane z realizacji Programu dotyczące Gminy Wilamowice: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Ilość szkół podstawowych funkcjonujących na terenie gminy – 5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b/>
          <w:sz w:val="24"/>
          <w:szCs w:val="24"/>
        </w:rPr>
      </w:pPr>
      <w:r>
        <w:rPr>
          <w:sz w:val="24"/>
          <w:szCs w:val="24"/>
        </w:rPr>
        <w:t>Ilość szkół z podstawowych funkcjonujących na terenie gminy  zgłoszonych do udziału w Programie – 5</w:t>
      </w:r>
    </w:p>
    <w:p>
      <w:pPr>
        <w:pStyle w:val="Normal"/>
        <w:spacing w:lineRule="auto" w:line="240" w:before="0"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Style w:val="Tabela-Siatka"/>
        <w:tblW w:w="90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6014"/>
        <w:gridCol w:w="953"/>
        <w:gridCol w:w="1081"/>
        <w:gridCol w:w="1014"/>
      </w:tblGrid>
      <w:tr>
        <w:trPr/>
        <w:tc>
          <w:tcPr>
            <w:tcW w:w="6014" w:type="dxa"/>
            <w:tcBorders/>
            <w:shd w:color="auto" w:fill="FBE4D5" w:themeFill="accent2" w:themeFillTint="33" w:val="clear"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pl-PL" w:eastAsia="en-US" w:bidi="ar-SA"/>
              </w:rPr>
              <w:t>Gmina Wilamowice</w:t>
            </w:r>
          </w:p>
        </w:tc>
        <w:tc>
          <w:tcPr>
            <w:tcW w:w="953" w:type="dxa"/>
            <w:tcBorders/>
            <w:shd w:color="auto" w:fill="FBE4D5" w:themeFill="accent2" w:themeFillTint="33" w:val="clear"/>
          </w:tcPr>
          <w:p>
            <w:pPr>
              <w:pStyle w:val="Normal"/>
              <w:widowControl/>
              <w:spacing w:lineRule="auto" w:line="240" w:before="0" w:after="0"/>
              <w:jc w:val="end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pl-PL" w:eastAsia="en-US" w:bidi="ar-SA"/>
              </w:rPr>
              <w:t>I klasy</w:t>
            </w:r>
          </w:p>
        </w:tc>
        <w:tc>
          <w:tcPr>
            <w:tcW w:w="1081" w:type="dxa"/>
            <w:tcBorders/>
            <w:shd w:color="auto" w:fill="FBE4D5" w:themeFill="accent2" w:themeFillTint="33" w:val="clear"/>
          </w:tcPr>
          <w:p>
            <w:pPr>
              <w:pStyle w:val="Normal"/>
              <w:widowControl/>
              <w:spacing w:lineRule="auto" w:line="240" w:before="0" w:after="0"/>
              <w:jc w:val="end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pl-PL" w:eastAsia="en-US" w:bidi="ar-SA"/>
              </w:rPr>
              <w:t>V klasy</w:t>
            </w:r>
          </w:p>
        </w:tc>
        <w:tc>
          <w:tcPr>
            <w:tcW w:w="1014" w:type="dxa"/>
            <w:tcBorders/>
            <w:shd w:color="auto" w:fill="FBE4D5" w:themeFill="accent2" w:themeFillTint="33" w:val="clear"/>
          </w:tcPr>
          <w:p>
            <w:pPr>
              <w:pStyle w:val="Normal"/>
              <w:widowControl/>
              <w:spacing w:lineRule="auto" w:line="240" w:before="0" w:after="0"/>
              <w:jc w:val="end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pl-PL" w:eastAsia="en-US" w:bidi="ar-SA"/>
              </w:rPr>
              <w:t>razem</w:t>
            </w:r>
          </w:p>
        </w:tc>
      </w:tr>
      <w:tr>
        <w:trPr/>
        <w:tc>
          <w:tcPr>
            <w:tcW w:w="6014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Rzeczywista liczba dzieci ucząca się w klasach na terenie gminy</w:t>
            </w:r>
          </w:p>
        </w:tc>
        <w:tc>
          <w:tcPr>
            <w:tcW w:w="95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251</w:t>
            </w:r>
          </w:p>
        </w:tc>
        <w:tc>
          <w:tcPr>
            <w:tcW w:w="108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214</w:t>
            </w:r>
          </w:p>
        </w:tc>
        <w:tc>
          <w:tcPr>
            <w:tcW w:w="101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465</w:t>
            </w:r>
          </w:p>
        </w:tc>
      </w:tr>
      <w:tr>
        <w:trPr/>
        <w:tc>
          <w:tcPr>
            <w:tcW w:w="6014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Liczba dzieci zgłoszonych do udziału w Programie</w:t>
            </w:r>
          </w:p>
        </w:tc>
        <w:tc>
          <w:tcPr>
            <w:tcW w:w="95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220</w:t>
            </w:r>
          </w:p>
        </w:tc>
        <w:tc>
          <w:tcPr>
            <w:tcW w:w="108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95</w:t>
            </w:r>
          </w:p>
        </w:tc>
        <w:tc>
          <w:tcPr>
            <w:tcW w:w="101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315</w:t>
            </w:r>
          </w:p>
        </w:tc>
      </w:tr>
      <w:tr>
        <w:trPr/>
        <w:tc>
          <w:tcPr>
            <w:tcW w:w="6014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Liczba dzieci przebadanych w Programie</w:t>
            </w:r>
          </w:p>
        </w:tc>
        <w:tc>
          <w:tcPr>
            <w:tcW w:w="95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182</w:t>
            </w:r>
          </w:p>
        </w:tc>
        <w:tc>
          <w:tcPr>
            <w:tcW w:w="108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86</w:t>
            </w:r>
          </w:p>
        </w:tc>
        <w:tc>
          <w:tcPr>
            <w:tcW w:w="101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268</w:t>
            </w:r>
          </w:p>
        </w:tc>
      </w:tr>
      <w:tr>
        <w:trPr/>
        <w:tc>
          <w:tcPr>
            <w:tcW w:w="6014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Liczba dzieci z nieprawidłowymi wynikami</w:t>
            </w:r>
          </w:p>
        </w:tc>
        <w:tc>
          <w:tcPr>
            <w:tcW w:w="95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30</w:t>
            </w:r>
          </w:p>
        </w:tc>
        <w:tc>
          <w:tcPr>
            <w:tcW w:w="108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27</w:t>
            </w:r>
          </w:p>
        </w:tc>
        <w:tc>
          <w:tcPr>
            <w:tcW w:w="101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57</w:t>
            </w:r>
          </w:p>
        </w:tc>
      </w:tr>
      <w:tr>
        <w:trPr/>
        <w:tc>
          <w:tcPr>
            <w:tcW w:w="6014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Procent wykrytych zaburzeń słuchu w stosunku do ilości dzieci przebadanych w Programie</w:t>
            </w:r>
          </w:p>
        </w:tc>
        <w:tc>
          <w:tcPr>
            <w:tcW w:w="953" w:type="dxa"/>
            <w:tcBorders/>
            <w:shd w:color="auto" w:fill="FBE4D5" w:themeFill="accent2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pl-PL" w:eastAsia="en-US" w:bidi="ar-SA"/>
              </w:rPr>
              <w:t>16,48%</w:t>
            </w:r>
          </w:p>
        </w:tc>
        <w:tc>
          <w:tcPr>
            <w:tcW w:w="1081" w:type="dxa"/>
            <w:tcBorders/>
            <w:shd w:color="auto" w:fill="FBE4D5" w:themeFill="accent2" w:themeFillTint="33" w:val="clear"/>
          </w:tcPr>
          <w:p>
            <w:pPr>
              <w:pStyle w:val="Normal"/>
              <w:widowControl/>
              <w:spacing w:lineRule="auto" w:line="259" w:before="0" w:after="1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pl-PL" w:eastAsia="en-US" w:bidi="ar-SA"/>
              </w:rPr>
              <w:t>31,39 %</w:t>
            </w:r>
          </w:p>
        </w:tc>
        <w:tc>
          <w:tcPr>
            <w:tcW w:w="1014" w:type="dxa"/>
            <w:tcBorders/>
            <w:shd w:color="auto" w:fill="FBE4D5" w:themeFill="accent2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pl-PL" w:eastAsia="en-US" w:bidi="ar-SA"/>
              </w:rPr>
              <w:t>21,27</w:t>
            </w:r>
            <w:bookmarkStart w:id="0" w:name="_GoBack"/>
            <w:bookmarkEnd w:id="0"/>
            <w:r>
              <w:rPr>
                <w:rFonts w:eastAsia="Calibri" w:cs=""/>
                <w:b/>
                <w:kern w:val="0"/>
                <w:sz w:val="24"/>
                <w:szCs w:val="24"/>
                <w:lang w:val="pl-PL" w:eastAsia="en-US" w:bidi="ar-SA"/>
              </w:rPr>
              <w:t xml:space="preserve"> %</w:t>
            </w:r>
          </w:p>
        </w:tc>
      </w:tr>
    </w:tbl>
    <w:p>
      <w:pPr>
        <w:pStyle w:val="Normal"/>
        <w:spacing w:lineRule="auto" w:line="240" w:before="0" w:after="160"/>
        <w:jc w:val="both"/>
        <w:rPr>
          <w:sz w:val="24"/>
          <w:szCs w:val="24"/>
        </w:rPr>
      </w:pPr>
      <w:r>
        <w:rPr>
          <w:sz w:val="24"/>
          <w:szCs w:val="24"/>
        </w:rPr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095327542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095327542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"/>
      <w:lvlJc w:val="start"/>
      <w:pPr>
        <w:tabs>
          <w:tab w:val="num" w:pos="0"/>
        </w:tabs>
        <w:ind w:start="234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306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378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450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52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94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666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73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8108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d0c9d"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c7755d"/>
    <w:rPr/>
  </w:style>
  <w:style w:type="character" w:styleId="StopkaZnak" w:customStyle="1">
    <w:name w:val="Stopka Znak"/>
    <w:basedOn w:val="DefaultParagraphFont"/>
    <w:uiPriority w:val="99"/>
    <w:qFormat/>
    <w:rsid w:val="00c7755d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d427cd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1d0c9d"/>
    <w:pPr>
      <w:spacing w:before="0" w:after="160"/>
      <w:ind w:start="72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c7755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c7755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427c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a397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LibreOffice/26.2.5.2$Windows_X86_64 LibreOffice_project/cd7284b4cbbfeb507e630c1aac019f4157393acb</Application>
  <AppVersion>15.0000</AppVersion>
  <Pages>3</Pages>
  <Words>862</Words>
  <Characters>5240</Characters>
  <CharactersWithSpaces>6061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2026-09-08T12:58:00Z</dcterms:created>
  <dc:creator>Agata Foltak-Indeka</dc:creator>
  <dc:description/>
  <dc:language>pl-PL</dc:language>
  <cp:lastModifiedBy>Agata Foltak-Indeka</cp:lastModifiedBy>
  <cp:lastPrinted>2026-09-08T09:58:00Z</cp:lastPrinted>
  <dcterms:modified xsi:type="dcterms:W3CDTF">2026-09-08T13:00:00Z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